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2026/140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Radlader mind. 15,5 Tonnen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von einem Radlader zum Verladen von Baum- und Heckenschnitt mit einem Gesamtgewicht von mindestens 15,5 Tonnen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